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E04" w:rsidRDefault="00696E04" w:rsidP="00696E04">
      <w:pPr>
        <w:pStyle w:val="Title"/>
        <w:rPr>
          <w:lang w:val="pt-PT"/>
        </w:rPr>
      </w:pPr>
      <w:r>
        <w:rPr>
          <w:lang w:val="pt-PT"/>
        </w:rPr>
        <w:t>P03 – análise de aplicações</w:t>
      </w:r>
    </w:p>
    <w:p w:rsidR="00696E04" w:rsidRPr="00696E04" w:rsidRDefault="00696E04" w:rsidP="00696E04">
      <w:pPr>
        <w:rPr>
          <w:lang w:val="pt-PT"/>
        </w:rPr>
      </w:pPr>
    </w:p>
    <w:p w:rsidR="0049469E" w:rsidRDefault="0049469E" w:rsidP="0049469E">
      <w:pPr>
        <w:pStyle w:val="Heading1"/>
        <w:spacing w:before="0"/>
        <w:rPr>
          <w:lang w:val="pt-PT"/>
        </w:rPr>
      </w:pPr>
      <w:proofErr w:type="gramStart"/>
      <w:r>
        <w:rPr>
          <w:lang w:val="pt-PT"/>
        </w:rPr>
        <w:t>b</w:t>
      </w:r>
      <w:proofErr w:type="gramEnd"/>
      <w:r>
        <w:rPr>
          <w:lang w:val="pt-PT"/>
        </w:rPr>
        <w:t>.</w:t>
      </w:r>
    </w:p>
    <w:tbl>
      <w:tblPr>
        <w:tblStyle w:val="TableGrid"/>
        <w:tblW w:w="0" w:type="auto"/>
        <w:tblLook w:val="04A0"/>
      </w:tblPr>
      <w:tblGrid>
        <w:gridCol w:w="1526"/>
        <w:gridCol w:w="3590"/>
        <w:gridCol w:w="4460"/>
      </w:tblGrid>
      <w:tr w:rsidR="0049469E" w:rsidRPr="0049469E" w:rsidTr="0049469E">
        <w:tc>
          <w:tcPr>
            <w:tcW w:w="1526" w:type="dxa"/>
          </w:tcPr>
          <w:p w:rsidR="0049469E" w:rsidRDefault="0049469E" w:rsidP="0049469E">
            <w:pPr>
              <w:pStyle w:val="Heading2"/>
              <w:outlineLvl w:val="1"/>
            </w:pPr>
          </w:p>
        </w:tc>
        <w:tc>
          <w:tcPr>
            <w:tcW w:w="3590" w:type="dxa"/>
          </w:tcPr>
          <w:p w:rsidR="00156FC0" w:rsidRDefault="00156FC0" w:rsidP="00156FC0">
            <w:pPr>
              <w:pStyle w:val="Heading2"/>
              <w:spacing w:before="0"/>
              <w:jc w:val="center"/>
              <w:outlineLvl w:val="1"/>
            </w:pPr>
            <w:r>
              <w:t>1</w:t>
            </w:r>
          </w:p>
          <w:p w:rsidR="0049469E" w:rsidRDefault="0049469E" w:rsidP="00156FC0">
            <w:pPr>
              <w:pStyle w:val="Heading2"/>
              <w:spacing w:before="0"/>
              <w:outlineLvl w:val="1"/>
            </w:pPr>
            <w:r w:rsidRPr="0049469E">
              <w:t>http://www.jkrowling.com/</w:t>
            </w:r>
          </w:p>
        </w:tc>
        <w:tc>
          <w:tcPr>
            <w:tcW w:w="4460" w:type="dxa"/>
          </w:tcPr>
          <w:p w:rsidR="00156FC0" w:rsidRDefault="00156FC0" w:rsidP="00156FC0">
            <w:pPr>
              <w:pStyle w:val="Heading2"/>
              <w:spacing w:before="0"/>
              <w:jc w:val="center"/>
              <w:outlineLvl w:val="1"/>
              <w:rPr>
                <w:lang w:val="pt-PT"/>
              </w:rPr>
            </w:pPr>
            <w:r>
              <w:rPr>
                <w:lang w:val="pt-PT"/>
              </w:rPr>
              <w:t>2</w:t>
            </w:r>
          </w:p>
          <w:p w:rsidR="0049469E" w:rsidRPr="0049469E" w:rsidRDefault="0049469E" w:rsidP="00156FC0">
            <w:pPr>
              <w:pStyle w:val="Heading2"/>
              <w:spacing w:before="0"/>
              <w:jc w:val="center"/>
              <w:outlineLvl w:val="1"/>
              <w:rPr>
                <w:lang w:val="pt-PT"/>
              </w:rPr>
            </w:pPr>
            <w:proofErr w:type="gramStart"/>
            <w:r w:rsidRPr="0049469E">
              <w:rPr>
                <w:lang w:val="pt-PT"/>
              </w:rPr>
              <w:t>http:</w:t>
            </w:r>
            <w:proofErr w:type="gramEnd"/>
            <w:r w:rsidRPr="0049469E">
              <w:rPr>
                <w:lang w:val="pt-PT"/>
              </w:rPr>
              <w:t>//www.dontclick.it/</w:t>
            </w:r>
          </w:p>
        </w:tc>
      </w:tr>
      <w:tr w:rsidR="0049469E" w:rsidRPr="00696E04" w:rsidTr="00696E04">
        <w:trPr>
          <w:trHeight w:val="386"/>
        </w:trPr>
        <w:tc>
          <w:tcPr>
            <w:tcW w:w="1526" w:type="dxa"/>
          </w:tcPr>
          <w:p w:rsidR="0049469E" w:rsidRPr="0049469E" w:rsidRDefault="0049469E" w:rsidP="00696E04">
            <w:pPr>
              <w:pStyle w:val="Heading2"/>
              <w:outlineLvl w:val="1"/>
              <w:rPr>
                <w:lang w:val="pt-PT"/>
              </w:rPr>
            </w:pPr>
            <w:r>
              <w:rPr>
                <w:lang w:val="pt-PT"/>
              </w:rPr>
              <w:t>Nome</w:t>
            </w:r>
          </w:p>
        </w:tc>
        <w:tc>
          <w:tcPr>
            <w:tcW w:w="3590" w:type="dxa"/>
          </w:tcPr>
          <w:p w:rsidR="0049469E" w:rsidRPr="00696E04" w:rsidRDefault="00696E04" w:rsidP="00696E04">
            <w:pPr>
              <w:spacing w:before="120"/>
              <w:jc w:val="center"/>
            </w:pPr>
            <w:proofErr w:type="spellStart"/>
            <w:r w:rsidRPr="00696E04">
              <w:t>J.K.Rowling</w:t>
            </w:r>
            <w:proofErr w:type="spellEnd"/>
            <w:r w:rsidRPr="00696E04">
              <w:t xml:space="preserve"> Official Site</w:t>
            </w:r>
          </w:p>
        </w:tc>
        <w:tc>
          <w:tcPr>
            <w:tcW w:w="4460" w:type="dxa"/>
          </w:tcPr>
          <w:p w:rsidR="0049469E" w:rsidRPr="00696E04" w:rsidRDefault="00696E04" w:rsidP="00696E04">
            <w:pPr>
              <w:spacing w:before="120"/>
              <w:jc w:val="center"/>
            </w:pPr>
            <w:proofErr w:type="spellStart"/>
            <w:r>
              <w:t>Dontclick.it</w:t>
            </w:r>
            <w:proofErr w:type="spellEnd"/>
          </w:p>
        </w:tc>
      </w:tr>
      <w:tr w:rsidR="0049469E" w:rsidRPr="0049469E" w:rsidTr="0049469E">
        <w:tc>
          <w:tcPr>
            <w:tcW w:w="1526" w:type="dxa"/>
          </w:tcPr>
          <w:p w:rsidR="0049469E" w:rsidRPr="0049469E" w:rsidRDefault="0049469E" w:rsidP="0049469E">
            <w:pPr>
              <w:pStyle w:val="Heading2"/>
              <w:outlineLvl w:val="1"/>
              <w:rPr>
                <w:lang w:val="pt-PT"/>
              </w:rPr>
            </w:pPr>
            <w:r>
              <w:rPr>
                <w:lang w:val="pt-PT"/>
              </w:rPr>
              <w:t>Filiação</w:t>
            </w:r>
          </w:p>
        </w:tc>
        <w:tc>
          <w:tcPr>
            <w:tcW w:w="3590" w:type="dxa"/>
          </w:tcPr>
          <w:p w:rsidR="0049469E" w:rsidRPr="0049469E" w:rsidRDefault="00696E04" w:rsidP="00696E04">
            <w:pPr>
              <w:spacing w:before="120"/>
              <w:jc w:val="center"/>
              <w:rPr>
                <w:lang w:val="pt-PT"/>
              </w:rPr>
            </w:pPr>
            <w:r>
              <w:rPr>
                <w:lang w:val="pt-PT"/>
              </w:rPr>
              <w:t xml:space="preserve">J. K. </w:t>
            </w:r>
            <w:proofErr w:type="spellStart"/>
            <w:r>
              <w:rPr>
                <w:lang w:val="pt-PT"/>
              </w:rPr>
              <w:t>Rowling</w:t>
            </w:r>
            <w:proofErr w:type="spellEnd"/>
          </w:p>
        </w:tc>
        <w:tc>
          <w:tcPr>
            <w:tcW w:w="4460" w:type="dxa"/>
          </w:tcPr>
          <w:p w:rsidR="0049469E" w:rsidRPr="0049469E" w:rsidRDefault="00696E04" w:rsidP="00696E04">
            <w:pPr>
              <w:spacing w:before="120"/>
              <w:jc w:val="center"/>
              <w:rPr>
                <w:lang w:val="pt-PT"/>
              </w:rPr>
            </w:pPr>
            <w:proofErr w:type="spellStart"/>
            <w:r>
              <w:rPr>
                <w:lang w:val="pt-PT"/>
              </w:rPr>
              <w:t>Institute</w:t>
            </w:r>
            <w:proofErr w:type="spellEnd"/>
            <w:r>
              <w:rPr>
                <w:lang w:val="pt-PT"/>
              </w:rPr>
              <w:t xml:space="preserve"> for </w:t>
            </w:r>
            <w:proofErr w:type="spellStart"/>
            <w:r>
              <w:rPr>
                <w:lang w:val="pt-PT"/>
              </w:rPr>
              <w:t>Interactive</w:t>
            </w:r>
            <w:proofErr w:type="spellEnd"/>
            <w:r>
              <w:rPr>
                <w:lang w:val="pt-PT"/>
              </w:rPr>
              <w:t xml:space="preserve"> </w:t>
            </w:r>
            <w:proofErr w:type="spellStart"/>
            <w:r>
              <w:rPr>
                <w:lang w:val="pt-PT"/>
              </w:rPr>
              <w:t>Research</w:t>
            </w:r>
            <w:proofErr w:type="spellEnd"/>
          </w:p>
        </w:tc>
      </w:tr>
      <w:tr w:rsidR="0049469E" w:rsidRPr="0049469E" w:rsidTr="0049469E">
        <w:tc>
          <w:tcPr>
            <w:tcW w:w="1526" w:type="dxa"/>
          </w:tcPr>
          <w:p w:rsidR="0049469E" w:rsidRPr="0049469E" w:rsidRDefault="0049469E" w:rsidP="0049469E">
            <w:pPr>
              <w:pStyle w:val="Heading2"/>
              <w:outlineLvl w:val="1"/>
              <w:rPr>
                <w:lang w:val="pt-PT"/>
              </w:rPr>
            </w:pPr>
            <w:r>
              <w:rPr>
                <w:lang w:val="pt-PT"/>
              </w:rPr>
              <w:t>Autoria</w:t>
            </w:r>
          </w:p>
        </w:tc>
        <w:tc>
          <w:tcPr>
            <w:tcW w:w="3590" w:type="dxa"/>
          </w:tcPr>
          <w:p w:rsidR="0049469E" w:rsidRPr="0049469E" w:rsidRDefault="00696E04" w:rsidP="00696E04">
            <w:pPr>
              <w:spacing w:before="120"/>
              <w:jc w:val="center"/>
              <w:rPr>
                <w:lang w:val="pt-PT"/>
              </w:rPr>
            </w:pPr>
            <w:proofErr w:type="spellStart"/>
            <w:r>
              <w:rPr>
                <w:lang w:val="pt-PT"/>
              </w:rPr>
              <w:t>Lightmaker</w:t>
            </w:r>
            <w:proofErr w:type="spellEnd"/>
          </w:p>
        </w:tc>
        <w:tc>
          <w:tcPr>
            <w:tcW w:w="4460" w:type="dxa"/>
          </w:tcPr>
          <w:p w:rsidR="0049469E" w:rsidRPr="0049469E" w:rsidRDefault="00156FC0" w:rsidP="00696E04">
            <w:pPr>
              <w:spacing w:before="120"/>
              <w:jc w:val="center"/>
              <w:rPr>
                <w:lang w:val="pt-PT"/>
              </w:rPr>
            </w:pPr>
            <w:proofErr w:type="spellStart"/>
            <w:r>
              <w:rPr>
                <w:lang w:val="pt-PT"/>
              </w:rPr>
              <w:t>Alex</w:t>
            </w:r>
            <w:proofErr w:type="spellEnd"/>
            <w:r>
              <w:rPr>
                <w:lang w:val="pt-PT"/>
              </w:rPr>
              <w:t xml:space="preserve"> </w:t>
            </w:r>
            <w:r w:rsidR="00540E67">
              <w:rPr>
                <w:lang w:val="pt-PT"/>
              </w:rPr>
              <w:t>Frank</w:t>
            </w:r>
          </w:p>
        </w:tc>
      </w:tr>
      <w:tr w:rsidR="0049469E" w:rsidRPr="0049469E" w:rsidTr="0049469E">
        <w:tc>
          <w:tcPr>
            <w:tcW w:w="1526" w:type="dxa"/>
          </w:tcPr>
          <w:p w:rsidR="0049469E" w:rsidRPr="0049469E" w:rsidRDefault="0049469E" w:rsidP="0049469E">
            <w:pPr>
              <w:pStyle w:val="Heading2"/>
              <w:outlineLvl w:val="1"/>
              <w:rPr>
                <w:lang w:val="pt-PT"/>
              </w:rPr>
            </w:pPr>
            <w:r>
              <w:rPr>
                <w:lang w:val="pt-PT"/>
              </w:rPr>
              <w:t xml:space="preserve">Outras </w:t>
            </w:r>
            <w:proofErr w:type="spellStart"/>
            <w:r>
              <w:rPr>
                <w:lang w:val="pt-PT"/>
              </w:rPr>
              <w:t>Inf</w:t>
            </w:r>
            <w:proofErr w:type="spellEnd"/>
            <w:r>
              <w:rPr>
                <w:lang w:val="pt-PT"/>
              </w:rPr>
              <w:t>.</w:t>
            </w:r>
          </w:p>
        </w:tc>
        <w:tc>
          <w:tcPr>
            <w:tcW w:w="3590" w:type="dxa"/>
          </w:tcPr>
          <w:p w:rsidR="0049469E" w:rsidRPr="0049469E" w:rsidRDefault="0049469E" w:rsidP="00696E04">
            <w:pPr>
              <w:spacing w:before="120"/>
              <w:jc w:val="center"/>
              <w:rPr>
                <w:lang w:val="pt-PT"/>
              </w:rPr>
            </w:pPr>
          </w:p>
        </w:tc>
        <w:tc>
          <w:tcPr>
            <w:tcW w:w="4460" w:type="dxa"/>
          </w:tcPr>
          <w:p w:rsidR="0049469E" w:rsidRPr="0049469E" w:rsidRDefault="0049469E" w:rsidP="00696E04">
            <w:pPr>
              <w:spacing w:before="120"/>
              <w:jc w:val="center"/>
              <w:rPr>
                <w:lang w:val="pt-PT"/>
              </w:rPr>
            </w:pPr>
          </w:p>
        </w:tc>
      </w:tr>
    </w:tbl>
    <w:p w:rsidR="0049469E" w:rsidRDefault="0049469E" w:rsidP="0049469E">
      <w:pPr>
        <w:pStyle w:val="Heading2"/>
        <w:ind w:firstLine="720"/>
        <w:rPr>
          <w:lang w:val="pt-PT"/>
        </w:rPr>
      </w:pPr>
    </w:p>
    <w:p w:rsidR="00696E04" w:rsidRDefault="00696E04" w:rsidP="00156FC0">
      <w:pPr>
        <w:pStyle w:val="Heading1"/>
        <w:rPr>
          <w:lang w:val="pt-PT"/>
        </w:rPr>
      </w:pPr>
      <w:proofErr w:type="gramStart"/>
      <w:r>
        <w:rPr>
          <w:lang w:val="pt-PT"/>
        </w:rPr>
        <w:t>c</w:t>
      </w:r>
      <w:proofErr w:type="gramEnd"/>
      <w:r>
        <w:rPr>
          <w:lang w:val="pt-PT"/>
        </w:rPr>
        <w:t>.</w:t>
      </w:r>
    </w:p>
    <w:p w:rsidR="00696E04" w:rsidRDefault="00156FC0" w:rsidP="00156FC0">
      <w:pPr>
        <w:rPr>
          <w:lang w:val="pt-PT"/>
        </w:rPr>
      </w:pPr>
      <w:r>
        <w:rPr>
          <w:lang w:val="pt-PT"/>
        </w:rPr>
        <w:tab/>
        <w:t xml:space="preserve">1 – Esta aplicação multimédia inclui som, imagens, animação e texto. Assim que entramos no site, somos levados a escolher o idioma pretendido de uma das diversas opções que nos são colocadas. Depois de seleccionado o idioma somos levados para a “página principal” do </w:t>
      </w:r>
      <w:proofErr w:type="spellStart"/>
      <w:r>
        <w:rPr>
          <w:lang w:val="pt-PT"/>
        </w:rPr>
        <w:t>Web-site</w:t>
      </w:r>
      <w:proofErr w:type="spellEnd"/>
      <w:r>
        <w:rPr>
          <w:lang w:val="pt-PT"/>
        </w:rPr>
        <w:t>/aplicação, e é nesta página que se desenvolve toda a acção. No inicio temos apenas alguns sons “ambientes” e alguns excertos de texto estáticos. Não temos indicação de botões, e deve ser o utilizador a “explorar” a aplicação e a encontrar os seus “segredos”. Sempre que passamos o cursor por cima de algum objecto clicável/interactivo, recebemos uma pequena notificação e há uma ligeira animação em redor desse objecto, desde uma pequena “aura” azul até ao movimento do próprio objecto, dependendo do caso. Mas temos também algumas animações escondidas, como por exemplo, quando colocamos o cursor sobre a borboleta</w:t>
      </w:r>
      <w:r w:rsidR="000E3CD5">
        <w:rPr>
          <w:lang w:val="pt-PT"/>
        </w:rPr>
        <w:t xml:space="preserve"> (ou mosca, no n”nível” seguinte)</w:t>
      </w:r>
      <w:r>
        <w:rPr>
          <w:lang w:val="pt-PT"/>
        </w:rPr>
        <w:t>, esta foge.</w:t>
      </w:r>
    </w:p>
    <w:p w:rsidR="00540E67" w:rsidRDefault="00540E67" w:rsidP="00156FC0">
      <w:pPr>
        <w:rPr>
          <w:lang w:val="pt-PT"/>
        </w:rPr>
      </w:pPr>
    </w:p>
    <w:p w:rsidR="00540E67" w:rsidRDefault="00540E67" w:rsidP="00540E67">
      <w:pPr>
        <w:ind w:firstLine="720"/>
        <w:rPr>
          <w:lang w:val="pt-PT"/>
        </w:rPr>
      </w:pPr>
      <w:r>
        <w:rPr>
          <w:lang w:val="pt-PT"/>
        </w:rPr>
        <w:t>2 – Esta aplicação multimédia inclui som, imagem, animação e texto, mas dispensa o “</w:t>
      </w:r>
      <w:proofErr w:type="spellStart"/>
      <w:r>
        <w:rPr>
          <w:lang w:val="pt-PT"/>
        </w:rPr>
        <w:t>click</w:t>
      </w:r>
      <w:proofErr w:type="spellEnd"/>
      <w:r>
        <w:rPr>
          <w:lang w:val="pt-PT"/>
        </w:rPr>
        <w:t xml:space="preserve">” do rato. Antes de darmos início à aplicação propriamente dita somos levados a conhecer as regras da mesma, e a regra base é não usar os botões do rato. Toda a interactividade desta aplicação é feita com o rato (excepto quando queremos preencher o formulário de questões ou sugestões) mas dispensa o </w:t>
      </w:r>
      <w:proofErr w:type="spellStart"/>
      <w:r>
        <w:rPr>
          <w:lang w:val="pt-PT"/>
        </w:rPr>
        <w:t>click</w:t>
      </w:r>
      <w:proofErr w:type="spellEnd"/>
      <w:r>
        <w:rPr>
          <w:lang w:val="pt-PT"/>
        </w:rPr>
        <w:t xml:space="preserve">, usando apenas o movimento do cursor. Quando colocamos o cursor sobre uma opção do menu, este abre-se e apresenta-nos as outras opções válidas, tudo isto sempre sem clicar. Tem também alguns jogos, em que temos que usar o movimento do rato para concluir diversos objectivos, e tem até uma zona onde podemos experimentar formas de criar botões que não necessitem ser clicados. Tem também alguns exemplos de outras </w:t>
      </w:r>
      <w:proofErr w:type="spellStart"/>
      <w:r>
        <w:rPr>
          <w:lang w:val="pt-PT"/>
        </w:rPr>
        <w:t>mini-aplicações</w:t>
      </w:r>
      <w:proofErr w:type="spellEnd"/>
      <w:r>
        <w:rPr>
          <w:lang w:val="pt-PT"/>
        </w:rPr>
        <w:t xml:space="preserve">, como por exemplo, uma aplicação de controlo de música sem </w:t>
      </w:r>
      <w:proofErr w:type="spellStart"/>
      <w:r>
        <w:rPr>
          <w:lang w:val="pt-PT"/>
        </w:rPr>
        <w:t>click’s</w:t>
      </w:r>
      <w:proofErr w:type="spellEnd"/>
      <w:r>
        <w:rPr>
          <w:lang w:val="pt-PT"/>
        </w:rPr>
        <w:t>, etc.</w:t>
      </w:r>
    </w:p>
    <w:p w:rsidR="00540E67" w:rsidRDefault="00540E67" w:rsidP="00540E67">
      <w:pPr>
        <w:pStyle w:val="Heading1"/>
        <w:rPr>
          <w:lang w:val="pt-PT"/>
        </w:rPr>
      </w:pPr>
      <w:proofErr w:type="gramStart"/>
      <w:r>
        <w:rPr>
          <w:lang w:val="pt-PT"/>
        </w:rPr>
        <w:lastRenderedPageBreak/>
        <w:t>d</w:t>
      </w:r>
      <w:proofErr w:type="gramEnd"/>
      <w:r>
        <w:rPr>
          <w:lang w:val="pt-PT"/>
        </w:rPr>
        <w:t>.</w:t>
      </w:r>
    </w:p>
    <w:p w:rsidR="00540E67" w:rsidRDefault="00540E67" w:rsidP="000E3CD5">
      <w:pPr>
        <w:rPr>
          <w:lang w:val="pt-PT"/>
        </w:rPr>
      </w:pPr>
    </w:p>
    <w:p w:rsidR="00540E67" w:rsidRDefault="000E3CD5" w:rsidP="000E3CD5">
      <w:pPr>
        <w:ind w:firstLine="720"/>
        <w:rPr>
          <w:lang w:val="pt-PT"/>
        </w:rPr>
      </w:pPr>
      <w:r>
        <w:rPr>
          <w:lang w:val="pt-PT"/>
        </w:rPr>
        <w:t xml:space="preserve">1 - </w:t>
      </w:r>
      <w:r w:rsidR="00540E67">
        <w:rPr>
          <w:lang w:val="pt-PT"/>
        </w:rPr>
        <w:t xml:space="preserve">A aplicação utiliza a </w:t>
      </w:r>
      <w:proofErr w:type="spellStart"/>
      <w:r w:rsidR="00540E67">
        <w:rPr>
          <w:lang w:val="pt-PT"/>
        </w:rPr>
        <w:t>World</w:t>
      </w:r>
      <w:proofErr w:type="spellEnd"/>
      <w:r w:rsidR="00540E67">
        <w:rPr>
          <w:lang w:val="pt-PT"/>
        </w:rPr>
        <w:t xml:space="preserve"> </w:t>
      </w:r>
      <w:proofErr w:type="spellStart"/>
      <w:r w:rsidR="00540E67">
        <w:rPr>
          <w:lang w:val="pt-PT"/>
        </w:rPr>
        <w:t>Wide</w:t>
      </w:r>
      <w:proofErr w:type="spellEnd"/>
      <w:r w:rsidR="00540E67">
        <w:rPr>
          <w:lang w:val="pt-PT"/>
        </w:rPr>
        <w:t xml:space="preserve"> Web como plataforma de suporte, como tal é distribuída online. Pode</w:t>
      </w:r>
      <w:r>
        <w:rPr>
          <w:lang w:val="pt-PT"/>
        </w:rPr>
        <w:t xml:space="preserve"> ser considerada uma aplicação de Marketing. É uma aplicação em que o paradigma de interacção é do tipo ambiente.</w:t>
      </w:r>
    </w:p>
    <w:p w:rsidR="000E3CD5" w:rsidRDefault="000E3CD5" w:rsidP="000E3CD5">
      <w:pPr>
        <w:ind w:firstLine="720"/>
        <w:rPr>
          <w:lang w:val="pt-PT"/>
        </w:rPr>
      </w:pPr>
    </w:p>
    <w:p w:rsidR="000E3CD5" w:rsidRDefault="000E3CD5" w:rsidP="000E3CD5">
      <w:pPr>
        <w:ind w:firstLine="720"/>
        <w:rPr>
          <w:lang w:val="pt-PT"/>
        </w:rPr>
      </w:pPr>
      <w:r>
        <w:rPr>
          <w:lang w:val="pt-PT"/>
        </w:rPr>
        <w:t xml:space="preserve">2 - A aplicação utiliza a </w:t>
      </w:r>
      <w:proofErr w:type="spellStart"/>
      <w:r>
        <w:rPr>
          <w:lang w:val="pt-PT"/>
        </w:rPr>
        <w:t>World</w:t>
      </w:r>
      <w:proofErr w:type="spellEnd"/>
      <w:r>
        <w:rPr>
          <w:lang w:val="pt-PT"/>
        </w:rPr>
        <w:t xml:space="preserve"> </w:t>
      </w:r>
      <w:proofErr w:type="spellStart"/>
      <w:r>
        <w:rPr>
          <w:lang w:val="pt-PT"/>
        </w:rPr>
        <w:t>Wide</w:t>
      </w:r>
      <w:proofErr w:type="spellEnd"/>
      <w:r>
        <w:rPr>
          <w:lang w:val="pt-PT"/>
        </w:rPr>
        <w:t xml:space="preserve"> Web como plataforma de suporte, como tal é distribuída online. Pode ser considerada uma aplicação de educação, pois pretende estudar a forma como os utilizadores usam a Web, pode também ser considerada uma aplicação de Marketing e também de ciência. É uma aplicação em que o paradigma de interacção é do tipo ambiente.</w:t>
      </w:r>
    </w:p>
    <w:p w:rsidR="000E3CD5" w:rsidRDefault="000E3CD5" w:rsidP="000E3CD5">
      <w:pPr>
        <w:ind w:firstLine="720"/>
        <w:rPr>
          <w:lang w:val="pt-PT"/>
        </w:rPr>
      </w:pPr>
    </w:p>
    <w:p w:rsidR="000E3CD5" w:rsidRDefault="000E3CD5" w:rsidP="000E3CD5">
      <w:pPr>
        <w:pStyle w:val="Heading1"/>
        <w:rPr>
          <w:lang w:val="pt-PT"/>
        </w:rPr>
      </w:pPr>
      <w:proofErr w:type="gramStart"/>
      <w:r>
        <w:rPr>
          <w:lang w:val="pt-PT"/>
        </w:rPr>
        <w:t>e</w:t>
      </w:r>
      <w:proofErr w:type="gramEnd"/>
      <w:r>
        <w:rPr>
          <w:lang w:val="pt-PT"/>
        </w:rPr>
        <w:t>.</w:t>
      </w:r>
    </w:p>
    <w:p w:rsidR="000E3CD5" w:rsidRDefault="000E3CD5" w:rsidP="000E3CD5">
      <w:pPr>
        <w:rPr>
          <w:lang w:val="pt-PT"/>
        </w:rPr>
      </w:pPr>
    </w:p>
    <w:p w:rsidR="000E3CD5" w:rsidRDefault="000E3CD5" w:rsidP="000E3CD5">
      <w:pPr>
        <w:ind w:firstLine="720"/>
        <w:rPr>
          <w:lang w:val="pt-PT"/>
        </w:rPr>
      </w:pPr>
      <w:r>
        <w:rPr>
          <w:lang w:val="pt-PT"/>
        </w:rPr>
        <w:t xml:space="preserve">1 – A aplicação não nos apresenta “botões” onde esteja explicita a acção. A aplicação contém alguns objectos clicáveis, e o utilizador é que deve procurar a informação. </w:t>
      </w:r>
      <w:r w:rsidR="000C61AA">
        <w:rPr>
          <w:lang w:val="pt-PT"/>
        </w:rPr>
        <w:t>Não consegui encontrar a zona de contactos nem formulários para contacto.</w:t>
      </w:r>
    </w:p>
    <w:p w:rsidR="00FD6B33" w:rsidRDefault="00FD6B33" w:rsidP="000E3CD5">
      <w:pPr>
        <w:ind w:firstLine="720"/>
        <w:rPr>
          <w:lang w:val="pt-PT"/>
        </w:rPr>
      </w:pPr>
    </w:p>
    <w:p w:rsidR="00FD6B33" w:rsidRPr="000E3CD5" w:rsidRDefault="00FD6B33" w:rsidP="000E3CD5">
      <w:pPr>
        <w:ind w:firstLine="720"/>
        <w:rPr>
          <w:lang w:val="pt-PT"/>
        </w:rPr>
      </w:pPr>
      <w:r>
        <w:rPr>
          <w:lang w:val="pt-PT"/>
        </w:rPr>
        <w:t>2- A aplicação não funciona de modo “natural”. Requer alguma habituação ao cenário e à forma de interacção, pois não permite cliques! Somos levados a uma página com um menu e o utilizador deve “mover” o rato sobre as zonas de interesse</w:t>
      </w:r>
      <w:r w:rsidR="000C61AA">
        <w:rPr>
          <w:lang w:val="pt-PT"/>
        </w:rPr>
        <w:t xml:space="preserve"> que farão com que o menu funcione, tal como se de um </w:t>
      </w:r>
      <w:proofErr w:type="spellStart"/>
      <w:r w:rsidR="000C61AA">
        <w:rPr>
          <w:lang w:val="pt-PT"/>
        </w:rPr>
        <w:t>click</w:t>
      </w:r>
      <w:proofErr w:type="spellEnd"/>
      <w:r w:rsidR="000C61AA">
        <w:rPr>
          <w:lang w:val="pt-PT"/>
        </w:rPr>
        <w:t xml:space="preserve"> se tratasse! A única altura em que o movimento do rato deixa de ser a única forma de interacção com a aplicação é no formulário de questões, dúvidas e/ou sugestões, onde nos é permitido (e necessário) o uso do teclado. Mesmo neste último ponto, os </w:t>
      </w:r>
      <w:proofErr w:type="spellStart"/>
      <w:r w:rsidR="000C61AA">
        <w:rPr>
          <w:lang w:val="pt-PT"/>
        </w:rPr>
        <w:t>clicks</w:t>
      </w:r>
      <w:proofErr w:type="spellEnd"/>
      <w:r w:rsidR="000C61AA">
        <w:rPr>
          <w:lang w:val="pt-PT"/>
        </w:rPr>
        <w:t xml:space="preserve"> são desnecessários.</w:t>
      </w:r>
    </w:p>
    <w:tbl>
      <w:tblPr>
        <w:tblW w:w="0" w:type="auto"/>
        <w:tblBorders>
          <w:top w:val="nil"/>
          <w:left w:val="nil"/>
          <w:bottom w:val="nil"/>
          <w:right w:val="nil"/>
        </w:tblBorders>
        <w:tblLayout w:type="fixed"/>
        <w:tblLook w:val="0000"/>
      </w:tblPr>
      <w:tblGrid>
        <w:gridCol w:w="9845"/>
      </w:tblGrid>
      <w:tr w:rsidR="000E3CD5" w:rsidRPr="000E3CD5">
        <w:tblPrEx>
          <w:tblCellMar>
            <w:top w:w="0" w:type="dxa"/>
            <w:bottom w:w="0" w:type="dxa"/>
          </w:tblCellMar>
        </w:tblPrEx>
        <w:trPr>
          <w:trHeight w:val="746"/>
        </w:trPr>
        <w:tc>
          <w:tcPr>
            <w:tcW w:w="9845" w:type="dxa"/>
          </w:tcPr>
          <w:p w:rsidR="000E3CD5" w:rsidRPr="000E3CD5" w:rsidRDefault="000E3CD5" w:rsidP="000C61AA">
            <w:pPr>
              <w:pStyle w:val="Default"/>
              <w:rPr>
                <w:color w:val="4B4B4B"/>
                <w:sz w:val="16"/>
                <w:szCs w:val="16"/>
                <w:lang w:val="pt-PT"/>
              </w:rPr>
            </w:pPr>
          </w:p>
        </w:tc>
      </w:tr>
    </w:tbl>
    <w:p w:rsidR="000E3CD5" w:rsidRPr="000E3CD5" w:rsidRDefault="000E3CD5" w:rsidP="000E3CD5">
      <w:pPr>
        <w:ind w:firstLine="720"/>
        <w:rPr>
          <w:lang w:val="pt-PT"/>
        </w:rPr>
      </w:pPr>
    </w:p>
    <w:sectPr w:rsidR="000E3CD5" w:rsidRPr="000E3CD5" w:rsidSect="00D51AD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HelveticaNeue-Roman">
    <w:altName w:val="HelveticaNeue-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92427"/>
    <w:multiLevelType w:val="hybridMultilevel"/>
    <w:tmpl w:val="A9C6946A"/>
    <w:lvl w:ilvl="0" w:tplc="9F2491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1ED3"/>
    <w:rsid w:val="000C61AA"/>
    <w:rsid w:val="000E3CD5"/>
    <w:rsid w:val="00156FC0"/>
    <w:rsid w:val="00195B67"/>
    <w:rsid w:val="0049469E"/>
    <w:rsid w:val="00540E67"/>
    <w:rsid w:val="00696E04"/>
    <w:rsid w:val="00D51AD2"/>
    <w:rsid w:val="00D91ED3"/>
    <w:rsid w:val="00FD6B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CD5"/>
    <w:pPr>
      <w:jc w:val="both"/>
    </w:pPr>
  </w:style>
  <w:style w:type="paragraph" w:styleId="Heading1">
    <w:name w:val="heading 1"/>
    <w:basedOn w:val="Normal"/>
    <w:next w:val="Normal"/>
    <w:link w:val="Heading1Char"/>
    <w:uiPriority w:val="9"/>
    <w:qFormat/>
    <w:rsid w:val="004946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46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946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6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46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9469E"/>
    <w:rPr>
      <w:rFonts w:asciiTheme="majorHAnsi" w:eastAsiaTheme="majorEastAsia" w:hAnsiTheme="majorHAnsi" w:cstheme="majorBidi"/>
      <w:b/>
      <w:bCs/>
      <w:color w:val="4F81BD" w:themeColor="accent1"/>
    </w:rPr>
  </w:style>
  <w:style w:type="table" w:styleId="TableGrid">
    <w:name w:val="Table Grid"/>
    <w:basedOn w:val="TableNormal"/>
    <w:uiPriority w:val="59"/>
    <w:rsid w:val="004946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9469E"/>
    <w:pPr>
      <w:autoSpaceDE w:val="0"/>
      <w:autoSpaceDN w:val="0"/>
      <w:adjustRightInd w:val="0"/>
      <w:spacing w:after="0" w:line="240" w:lineRule="auto"/>
    </w:pPr>
    <w:rPr>
      <w:rFonts w:ascii="HelveticaNeue-Roman" w:hAnsi="HelveticaNeue-Roman" w:cs="HelveticaNeue-Roman"/>
      <w:color w:val="000000"/>
      <w:sz w:val="24"/>
      <w:szCs w:val="24"/>
    </w:rPr>
  </w:style>
  <w:style w:type="paragraph" w:styleId="Title">
    <w:name w:val="Title"/>
    <w:basedOn w:val="Normal"/>
    <w:next w:val="Normal"/>
    <w:link w:val="TitleChar"/>
    <w:uiPriority w:val="10"/>
    <w:qFormat/>
    <w:rsid w:val="00696E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6E0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Universidade de Aveiro</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3</cp:revision>
  <dcterms:created xsi:type="dcterms:W3CDTF">2011-10-06T10:18:00Z</dcterms:created>
  <dcterms:modified xsi:type="dcterms:W3CDTF">2011-10-06T11:37:00Z</dcterms:modified>
</cp:coreProperties>
</file>